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Paul Ramirez</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9/12/16</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Period 1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Mr.Gonzales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 Monday of this week I went to job shadow Sal Saeed, owner of Shoe Farm and Product Manager. I decided to do my Job shadow on him because I want to work with Nike as a shoe engineer and as a sales manager. Sal was the correct choice for me because he owns his own shoe store plus he knows about shoes, he knows what people want and how to manage his money.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arrived in the after school to Shoe Farm, around four PM. I walked in and shook hands with Sal, he smiled and said, “How’s it going,” I responded, “I’m doing fine thank you.” He asked me what he could help me with and I told him I had called him to ask if I could do my job shadow on him and he has said yes. I interviewed him and he was very polite and answered all of my questions according to how I asked them. Then, after that I stayed the rest of the afternoon at Shoe Farm, it was a slow day in regards of sales.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learned an abundance of new things that day. One of the things I learned is about business and sales. I was already knowledgeable in regards of shoes and materials that they utilize. Another thing that I learned is how fads go buy and people’s likings change. Something I also learned is how important it is to know how to manage  your money and make smart investments in what you buy.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job shadow was a positive experience for me and only made my interest for this career expand. I am still interested in this job, I think this job shadow only made my knowledge on what it takes to become a shoe creator and product manager more vast and open. Over all this was a great experience and I am sure that i want to do this for the rest of my life.</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Ramirez</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